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345218">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504" stroked="f">
              <v:textbox style="mso-next-textbox:#_x0000_s1069">
                <w:txbxContent>
                  <w:p w:rsidR="00345218" w:rsidRDefault="00345218" w:rsidP="00191FF8">
                    <w:pPr>
                      <w:pBdr>
                        <w:top w:val="single" w:sz="4" w:space="1" w:color="auto"/>
                        <w:left w:val="single" w:sz="4" w:space="4" w:color="auto"/>
                        <w:bottom w:val="single" w:sz="4" w:space="1" w:color="auto"/>
                        <w:right w:val="single" w:sz="4" w:space="4" w:color="auto"/>
                      </w:pBdr>
                      <w:spacing w:line="276" w:lineRule="auto"/>
                      <w:jc w:val="center"/>
                      <w:rPr>
                        <w:b/>
                        <w:color w:val="7030A0"/>
                        <w:sz w:val="36"/>
                        <w:szCs w:val="36"/>
                      </w:rPr>
                    </w:pPr>
                    <w:proofErr w:type="spellStart"/>
                    <w:r>
                      <w:rPr>
                        <w:b/>
                        <w:color w:val="7030A0"/>
                        <w:sz w:val="36"/>
                        <w:szCs w:val="36"/>
                      </w:rPr>
                      <w:t>Imprédicativité</w:t>
                    </w:r>
                    <w:proofErr w:type="spellEnd"/>
                    <w:r>
                      <w:rPr>
                        <w:b/>
                        <w:color w:val="7030A0"/>
                        <w:sz w:val="36"/>
                        <w:szCs w:val="36"/>
                      </w:rPr>
                      <w:t xml:space="preserve"> de l’acte psychanalytique</w:t>
                    </w:r>
                  </w:p>
                  <w:p w:rsidR="00191FF8" w:rsidRPr="00345218"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345218">
                      <w:rPr>
                        <w:b/>
                        <w:color w:val="000000" w:themeColor="text1"/>
                        <w:sz w:val="36"/>
                        <w:szCs w:val="36"/>
                      </w:rPr>
                      <w:t>Bon de commande</w:t>
                    </w:r>
                    <w:r w:rsidR="001C4E7D" w:rsidRPr="00345218">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      ] exemplaire(s) de René </w:t>
                    </w:r>
                    <w:proofErr w:type="spellStart"/>
                    <w:r w:rsidRPr="00A6374A">
                      <w:rPr>
                        <w:sz w:val="24"/>
                        <w:szCs w:val="24"/>
                      </w:rPr>
                      <w:t>Lew</w:t>
                    </w:r>
                    <w:proofErr w:type="spellEnd"/>
                    <w:r w:rsidRPr="00A6374A">
                      <w:rPr>
                        <w:sz w:val="24"/>
                        <w:szCs w:val="24"/>
                      </w:rPr>
                      <w:t xml:space="preserve">, </w:t>
                    </w:r>
                    <w:proofErr w:type="spellStart"/>
                    <w:r w:rsidR="00F448C9">
                      <w:rPr>
                        <w:i/>
                        <w:sz w:val="24"/>
                        <w:szCs w:val="24"/>
                      </w:rPr>
                      <w:t>Imprédicativité</w:t>
                    </w:r>
                    <w:proofErr w:type="spellEnd"/>
                    <w:r w:rsidR="00F448C9">
                      <w:rPr>
                        <w:i/>
                        <w:sz w:val="24"/>
                        <w:szCs w:val="24"/>
                      </w:rPr>
                      <w:t xml:space="preserve"> de l’acte psychanalytique</w:t>
                    </w:r>
                    <w:r w:rsidRPr="00A6374A">
                      <w:rPr>
                        <w:sz w:val="24"/>
                        <w:szCs w:val="24"/>
                      </w:rPr>
                      <w:t>, Lysimaque (201</w:t>
                    </w:r>
                    <w:r w:rsidR="00F448C9">
                      <w:rPr>
                        <w:sz w:val="24"/>
                        <w:szCs w:val="24"/>
                      </w:rPr>
                      <w:t>8</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191FF8" w:rsidRPr="00E829B4" w:rsidRDefault="00F448C9" w:rsidP="00191FF8">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t>3</w:t>
                    </w:r>
                    <w:r w:rsidR="001C4E7D">
                      <w:rPr>
                        <w:sz w:val="24"/>
                        <w:szCs w:val="24"/>
                      </w:rPr>
                      <w:t>0</w:t>
                    </w:r>
                    <w:r w:rsidR="00191FF8">
                      <w:rPr>
                        <w:sz w:val="24"/>
                        <w:szCs w:val="24"/>
                      </w:rPr>
                      <w:t xml:space="preserve"> € l’unité</w:t>
                    </w:r>
                  </w:p>
                  <w:p w:rsidR="00191FF8" w:rsidRDefault="00191FF8" w:rsidP="00191FF8">
                    <w:pPr>
                      <w:spacing w:line="276" w:lineRule="auto"/>
                      <w:jc w:val="left"/>
                      <w:rPr>
                        <w:sz w:val="24"/>
                        <w:szCs w:val="24"/>
                      </w:rPr>
                    </w:pPr>
                    <w:r w:rsidRPr="00CD74E5">
                      <w:rPr>
                        <w:sz w:val="24"/>
                        <w:szCs w:val="24"/>
                      </w:rPr>
                      <w:t>+ participation aux frais de port</w:t>
                    </w:r>
                    <w:proofErr w:type="gramStart"/>
                    <w:r>
                      <w:rPr>
                        <w:sz w:val="24"/>
                        <w:szCs w:val="24"/>
                      </w:rPr>
                      <w:tab/>
                    </w:r>
                    <w:r w:rsidR="00F448C9">
                      <w:rPr>
                        <w:sz w:val="24"/>
                        <w:szCs w:val="24"/>
                        <w:u w:val="single"/>
                      </w:rPr>
                      <w:t xml:space="preserve">  5</w:t>
                    </w:r>
                    <w:proofErr w:type="gramEnd"/>
                    <w:r w:rsidRPr="00CD74E5">
                      <w:rPr>
                        <w:sz w:val="24"/>
                        <w:szCs w:val="24"/>
                        <w:u w:val="single"/>
                      </w:rPr>
                      <w:t xml:space="preserve"> € </w:t>
                    </w: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345218">
                      <w:rPr>
                        <w:sz w:val="24"/>
                        <w:szCs w:val="24"/>
                      </w:rPr>
                      <w:tab/>
                    </w:r>
                    <w:r w:rsidR="001C4E7D">
                      <w:rPr>
                        <w:sz w:val="24"/>
                        <w:szCs w:val="24"/>
                      </w:rPr>
                      <w:t>3</w:t>
                    </w:r>
                    <w:r>
                      <w:rPr>
                        <w:sz w:val="24"/>
                        <w:szCs w:val="24"/>
                      </w:rPr>
                      <w:t>5</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F448C9" w:rsidRDefault="00085ED2" w:rsidP="00191FF8">
                    <w:pPr>
                      <w:spacing w:after="120" w:line="276" w:lineRule="auto"/>
                      <w:jc w:val="center"/>
                      <w:rPr>
                        <w:b/>
                        <w:color w:val="7030A0"/>
                        <w:sz w:val="24"/>
                        <w:szCs w:val="24"/>
                      </w:rPr>
                    </w:pPr>
                  </w:p>
                  <w:p w:rsidR="00191FF8" w:rsidRPr="00F448C9" w:rsidRDefault="00191FF8" w:rsidP="00191FF8">
                    <w:pPr>
                      <w:spacing w:after="120" w:line="276" w:lineRule="auto"/>
                      <w:jc w:val="center"/>
                      <w:rPr>
                        <w:b/>
                        <w:color w:val="7030A0"/>
                        <w:sz w:val="24"/>
                        <w:szCs w:val="24"/>
                      </w:rPr>
                    </w:pPr>
                    <w:r w:rsidRPr="00F448C9">
                      <w:rPr>
                        <w:b/>
                        <w:color w:val="7030A0"/>
                        <w:sz w:val="24"/>
                        <w:szCs w:val="24"/>
                      </w:rPr>
                      <w:t>L’ouvrage vous parviendra à réception de votre règlement</w:t>
                    </w:r>
                  </w:p>
                  <w:p w:rsidR="00E467C0" w:rsidRPr="00F448C9" w:rsidRDefault="00E467C0" w:rsidP="00191FF8">
                    <w:pPr>
                      <w:spacing w:after="120" w:line="276" w:lineRule="auto"/>
                      <w:jc w:val="center"/>
                      <w:rPr>
                        <w:b/>
                        <w:color w:val="7030A0"/>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wrap type="none"/>
            <w10:anchorlock/>
          </v:group>
        </w:pict>
      </w:r>
    </w:p>
    <w:p w:rsidR="00085ED2" w:rsidRDefault="00085ED2"/>
    <w:p w:rsidR="00345218" w:rsidRDefault="00345218">
      <w:pPr>
        <w:sectPr w:rsidR="00345218" w:rsidSect="00085ED2">
          <w:pgSz w:w="11906" w:h="16838"/>
          <w:pgMar w:top="1417" w:right="1417" w:bottom="1417" w:left="1417" w:header="708" w:footer="708" w:gutter="0"/>
          <w:cols w:space="708"/>
          <w:docGrid w:linePitch="360"/>
        </w:sectPr>
      </w:pPr>
    </w:p>
    <w:p w:rsidR="00B00895" w:rsidRPr="00B00895" w:rsidRDefault="00B00895" w:rsidP="00B00895">
      <w:pPr>
        <w:jc w:val="center"/>
        <w:rPr>
          <w:sz w:val="36"/>
          <w:szCs w:val="36"/>
        </w:rPr>
      </w:pPr>
      <w:r>
        <w:rPr>
          <w:sz w:val="36"/>
          <w:szCs w:val="36"/>
        </w:rPr>
        <w:lastRenderedPageBreak/>
        <w:t>Rappel des publications antérieures</w:t>
      </w:r>
      <w:r w:rsidR="00753D5F">
        <w:rPr>
          <w:sz w:val="36"/>
          <w:szCs w:val="36"/>
        </w:rPr>
        <w:t xml:space="preserve"> du même auteur</w:t>
      </w: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F448C9" w:rsidRPr="005645B9" w:rsidRDefault="00F448C9" w:rsidP="00F448C9">
      <w:pPr>
        <w:spacing w:after="120" w:line="276" w:lineRule="auto"/>
        <w:jc w:val="left"/>
        <w:rPr>
          <w:sz w:val="20"/>
          <w:szCs w:val="20"/>
        </w:rPr>
      </w:pPr>
      <w:r>
        <w:rPr>
          <w:sz w:val="20"/>
          <w:szCs w:val="20"/>
        </w:rPr>
        <w:t xml:space="preserve">218 pp. </w:t>
      </w:r>
      <w:r w:rsidRPr="001C4E7D">
        <w:rPr>
          <w:sz w:val="20"/>
          <w:szCs w:val="20"/>
        </w:rPr>
        <w:t>20 €</w:t>
      </w:r>
      <w:r>
        <w:rPr>
          <w:sz w:val="20"/>
          <w:szCs w:val="20"/>
        </w:rPr>
        <w:t xml:space="preserve">. </w:t>
      </w:r>
      <w:r w:rsidRPr="001C4E7D">
        <w:rPr>
          <w:sz w:val="20"/>
          <w:szCs w:val="20"/>
        </w:rPr>
        <w:t>Participation aux frais de port 3 €</w:t>
      </w:r>
    </w:p>
    <w:p w:rsidR="00F448C9" w:rsidRPr="00F448C9" w:rsidRDefault="00F448C9" w:rsidP="00345218">
      <w:pPr>
        <w:spacing w:after="120" w:line="276" w:lineRule="auto"/>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753D5F" w:rsidRPr="00881994" w:rsidRDefault="00753D5F" w:rsidP="00753D5F">
      <w:pPr>
        <w:pStyle w:val="Default"/>
        <w:spacing w:after="120"/>
        <w:jc w:val="both"/>
        <w:rPr>
          <w:sz w:val="20"/>
          <w:szCs w:val="20"/>
        </w:rPr>
      </w:pPr>
      <w:r>
        <w:rPr>
          <w:sz w:val="20"/>
          <w:szCs w:val="20"/>
        </w:rPr>
        <w:t>218</w:t>
      </w:r>
      <w:r w:rsidR="003A251A">
        <w:rPr>
          <w:sz w:val="20"/>
          <w:szCs w:val="20"/>
        </w:rPr>
        <w:t xml:space="preserve"> pp. 25</w:t>
      </w:r>
      <w:r w:rsidRPr="00881994">
        <w:rPr>
          <w:sz w:val="20"/>
          <w:szCs w:val="20"/>
        </w:rPr>
        <w:t xml:space="preserve"> €. Participation aux frais de port </w:t>
      </w:r>
      <w:r>
        <w:rPr>
          <w:sz w:val="20"/>
          <w:szCs w:val="20"/>
        </w:rPr>
        <w:t>3</w:t>
      </w:r>
      <w:r w:rsidRPr="00881994">
        <w:rPr>
          <w:sz w:val="20"/>
          <w:szCs w:val="20"/>
        </w:rPr>
        <w:t xml:space="preserve"> €</w:t>
      </w:r>
      <w:r>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E31840" w:rsidRPr="00753D5F" w:rsidRDefault="00753D5F" w:rsidP="00345218">
      <w:pPr>
        <w:spacing w:after="120"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B00895" w:rsidP="00B00895">
      <w:pPr>
        <w:pStyle w:val="Default"/>
        <w:spacing w:after="120"/>
        <w:jc w:val="both"/>
        <w:rPr>
          <w:sz w:val="20"/>
          <w:szCs w:val="20"/>
        </w:rPr>
      </w:pPr>
      <w:r w:rsidRPr="00881994">
        <w:rPr>
          <w:sz w:val="20"/>
          <w:szCs w:val="20"/>
        </w:rPr>
        <w:t>908 pp. 30 €. Participation aux frais de port 5 €</w:t>
      </w:r>
      <w:r>
        <w:rPr>
          <w:sz w:val="20"/>
          <w:szCs w:val="20"/>
        </w:rPr>
        <w:t>.</w:t>
      </w:r>
    </w:p>
    <w:p w:rsidR="00B00895" w:rsidRPr="00E51495" w:rsidRDefault="00B00895" w:rsidP="00345218">
      <w:pPr>
        <w:spacing w:after="120" w:line="276" w:lineRule="auto"/>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B00895" w:rsidRPr="004A4A3B" w:rsidRDefault="00B00895" w:rsidP="00B00895">
      <w:pPr>
        <w:pStyle w:val="Default"/>
        <w:spacing w:after="120"/>
        <w:jc w:val="both"/>
        <w:rPr>
          <w:sz w:val="20"/>
          <w:szCs w:val="20"/>
        </w:rPr>
      </w:pPr>
      <w:r>
        <w:rPr>
          <w:sz w:val="20"/>
          <w:szCs w:val="20"/>
        </w:rPr>
        <w:t>688 pp. 3</w:t>
      </w:r>
      <w:r w:rsidRPr="00050E7F">
        <w:rPr>
          <w:sz w:val="20"/>
          <w:szCs w:val="20"/>
        </w:rPr>
        <w:t>0 €. P</w:t>
      </w:r>
      <w:r w:rsidR="009F2471">
        <w:rPr>
          <w:sz w:val="20"/>
          <w:szCs w:val="20"/>
        </w:rPr>
        <w:t>articipation aux frais de port 5</w:t>
      </w:r>
      <w:r w:rsidRPr="00050E7F">
        <w:rPr>
          <w:sz w:val="20"/>
          <w:szCs w:val="20"/>
        </w:rPr>
        <w:t xml:space="preserve"> €</w:t>
      </w:r>
      <w:r>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B00895">
      <w:pPr>
        <w:spacing w:after="120"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B00895" w:rsidRPr="00E31840" w:rsidRDefault="00B00895" w:rsidP="00B00895">
      <w:pPr>
        <w:spacing w:after="120" w:line="276" w:lineRule="auto"/>
        <w:rPr>
          <w:sz w:val="20"/>
          <w:szCs w:val="20"/>
        </w:rPr>
      </w:pPr>
      <w:r w:rsidRPr="00E31840">
        <w:rPr>
          <w:sz w:val="20"/>
          <w:szCs w:val="20"/>
        </w:rPr>
        <w:t xml:space="preserve">381 pp. 20 €. Participation aux frais de port 3 €. </w:t>
      </w:r>
    </w:p>
    <w:p w:rsidR="00B00895" w:rsidRPr="00B00895" w:rsidRDefault="00B00895" w:rsidP="00B00895">
      <w:pPr>
        <w:spacing w:after="120" w:line="276" w:lineRule="auto"/>
        <w:rPr>
          <w:color w:val="000000"/>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B00895" w:rsidRDefault="00B00895" w:rsidP="00B00895">
      <w:pPr>
        <w:jc w:val="center"/>
      </w:pPr>
    </w:p>
    <w:p w:rsidR="00385FF7" w:rsidRDefault="00345218" w:rsidP="00B00895">
      <w:pPr>
        <w:jc w:val="center"/>
      </w:pPr>
      <w:r>
        <w:pict>
          <v:group id="_x0000_s1078" editas="canvas" style="width:513.5pt;height:720.3pt;mso-position-horizontal-relative:char;mso-position-vertical-relative:line" coordorigin="3812,9917" coordsize="10270,14406">
            <o:lock v:ext="edit" aspectratio="t"/>
            <v:shape id="_x0000_s1079" type="#_x0000_t75" style="position:absolute;left:3812;top:9917;width:10270;height:14406" o:preferrelative="f">
              <v:fill o:detectmouseclick="t"/>
              <v:path o:extrusionok="t" o:connecttype="none"/>
              <o:lock v:ext="edit" text="t"/>
            </v:shape>
            <v:shape id="_x0000_s1080" type="#_x0000_t202" style="position:absolute;left:3812;top:10857;width:10222;height:12820"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w:t>
                    </w:r>
                    <w:bookmarkStart w:id="0" w:name="_GoBack"/>
                    <w:r w:rsidRPr="00BF77C9">
                      <w:rPr>
                        <w:sz w:val="36"/>
                        <w:szCs w:val="36"/>
                      </w:rPr>
                      <w:t xml:space="preserve">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612ABC" w:rsidRDefault="00BF77C9" w:rsidP="00BF77C9">
                    <w:pPr>
                      <w:spacing w:line="276" w:lineRule="auto"/>
                      <w:jc w:val="left"/>
                      <w:rPr>
                        <w:sz w:val="16"/>
                        <w:szCs w:val="16"/>
                      </w:rPr>
                    </w:pP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7C01E9" w:rsidRDefault="007C01E9" w:rsidP="00EC3102">
                    <w:pPr>
                      <w:spacing w:line="276" w:lineRule="auto"/>
                      <w:jc w:val="left"/>
                      <w:rPr>
                        <w:sz w:val="22"/>
                        <w:szCs w:val="22"/>
                      </w:rPr>
                    </w:pPr>
                  </w:p>
                  <w:p w:rsidR="00345218" w:rsidRDefault="00345218" w:rsidP="0034521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Pr="00286101">
                      <w:rPr>
                        <w:sz w:val="22"/>
                        <w:szCs w:val="22"/>
                      </w:rPr>
                      <w:t>, Lysimaque (2018)…………………</w:t>
                    </w:r>
                    <w:r>
                      <w:rPr>
                        <w:sz w:val="22"/>
                        <w:szCs w:val="22"/>
                      </w:rPr>
                      <w:t>…..</w:t>
                    </w:r>
                    <w:r>
                      <w:rPr>
                        <w:sz w:val="22"/>
                        <w:szCs w:val="22"/>
                      </w:rPr>
                      <w:tab/>
                    </w:r>
                    <w:r w:rsidRPr="00286101">
                      <w:rPr>
                        <w:sz w:val="22"/>
                        <w:szCs w:val="22"/>
                      </w:rPr>
                      <w:t xml:space="preserve"> 30 € l’unité</w:t>
                    </w:r>
                  </w:p>
                  <w:p w:rsidR="00345218" w:rsidRPr="00286101" w:rsidRDefault="00345218" w:rsidP="0034521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345218" w:rsidRDefault="00345218" w:rsidP="0034521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345218" w:rsidRPr="00286101" w:rsidRDefault="00345218" w:rsidP="0034521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345218" w:rsidRDefault="00345218" w:rsidP="00345218">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345218" w:rsidRPr="00286101" w:rsidRDefault="00345218" w:rsidP="0034521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345218" w:rsidRDefault="00345218" w:rsidP="0034521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345218" w:rsidRPr="00286101" w:rsidRDefault="00345218" w:rsidP="0034521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345218" w:rsidRDefault="00345218" w:rsidP="0034521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345218" w:rsidRPr="00286101" w:rsidRDefault="00345218" w:rsidP="0034521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345218" w:rsidRDefault="00345218" w:rsidP="0034521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345218" w:rsidRPr="00286101" w:rsidRDefault="00345218" w:rsidP="00345218">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345218" w:rsidRDefault="00345218" w:rsidP="00345218">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345218" w:rsidRDefault="00345218" w:rsidP="00345218">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345218" w:rsidRPr="008932E1" w:rsidRDefault="00345218" w:rsidP="00345218">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345218" w:rsidRDefault="00345218" w:rsidP="00345218">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345218" w:rsidRPr="008932E1" w:rsidRDefault="00345218" w:rsidP="00345218">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345218" w:rsidRDefault="00345218" w:rsidP="00345218">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345218" w:rsidRDefault="00345218" w:rsidP="00345218">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345218" w:rsidRDefault="00345218" w:rsidP="00345218">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FB2364" w:rsidRPr="00160ACB" w:rsidRDefault="00FB2364" w:rsidP="005A1FB3">
                    <w:pPr>
                      <w:spacing w:after="120" w:line="276" w:lineRule="auto"/>
                      <w:rPr>
                        <w:sz w:val="22"/>
                        <w:szCs w:val="22"/>
                      </w:rPr>
                    </w:pPr>
                  </w:p>
                  <w:p w:rsidR="00BF77C9" w:rsidRPr="007C01E9" w:rsidRDefault="00BF77C9" w:rsidP="00BF77C9">
                    <w:pPr>
                      <w:spacing w:after="120" w:line="276" w:lineRule="auto"/>
                      <w:jc w:val="center"/>
                      <w:rPr>
                        <w:b/>
                        <w:color w:val="7030A0"/>
                        <w:sz w:val="22"/>
                        <w:szCs w:val="22"/>
                      </w:rPr>
                    </w:pPr>
                    <w:r w:rsidRPr="007C01E9">
                      <w:rPr>
                        <w:b/>
                        <w:color w:val="7030A0"/>
                        <w:sz w:val="22"/>
                        <w:szCs w:val="22"/>
                      </w:rPr>
                      <w:t>L</w:t>
                    </w:r>
                    <w:r w:rsidR="00DA016F" w:rsidRPr="007C01E9">
                      <w:rPr>
                        <w:b/>
                        <w:color w:val="7030A0"/>
                        <w:sz w:val="22"/>
                        <w:szCs w:val="22"/>
                      </w:rPr>
                      <w:t xml:space="preserve">es </w:t>
                    </w:r>
                    <w:r w:rsidRPr="007C01E9">
                      <w:rPr>
                        <w:b/>
                        <w:color w:val="7030A0"/>
                        <w:sz w:val="22"/>
                        <w:szCs w:val="22"/>
                      </w:rPr>
                      <w:t>ouvrage</w:t>
                    </w:r>
                    <w:r w:rsidR="00DA016F" w:rsidRPr="007C01E9">
                      <w:rPr>
                        <w:b/>
                        <w:color w:val="7030A0"/>
                        <w:sz w:val="22"/>
                        <w:szCs w:val="22"/>
                      </w:rPr>
                      <w:t>s vous parviendront</w:t>
                    </w:r>
                    <w:r w:rsidRPr="007C01E9">
                      <w:rPr>
                        <w:b/>
                        <w:color w:val="7030A0"/>
                        <w:sz w:val="22"/>
                        <w:szCs w:val="22"/>
                      </w:rPr>
                      <w:t xml:space="preserve"> à réception de votre règlement</w:t>
                    </w:r>
                  </w:p>
                  <w:p w:rsidR="00FB2364" w:rsidRPr="007C01E9" w:rsidRDefault="00FB2364" w:rsidP="00BF77C9">
                    <w:pPr>
                      <w:spacing w:after="120" w:line="276" w:lineRule="auto"/>
                      <w:jc w:val="center"/>
                      <w:rPr>
                        <w:b/>
                        <w:color w:val="7030A0"/>
                        <w:sz w:val="22"/>
                        <w:szCs w:val="22"/>
                      </w:rPr>
                    </w:pPr>
                  </w:p>
                  <w:p w:rsidR="00FB2364" w:rsidRDefault="000F1AC1" w:rsidP="000F1AC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B2364" w:rsidRDefault="00FB2364" w:rsidP="00FB2364">
                    <w:pPr>
                      <w:pStyle w:val="Paragraphedeliste"/>
                      <w:spacing w:line="276" w:lineRule="auto"/>
                      <w:jc w:val="left"/>
                      <w:rPr>
                        <w:sz w:val="22"/>
                        <w:szCs w:val="22"/>
                      </w:rPr>
                    </w:pPr>
                  </w:p>
                  <w:p w:rsidR="00FB2364" w:rsidRDefault="00FB2364" w:rsidP="00FB2364">
                    <w:pPr>
                      <w:pStyle w:val="Paragraphedeliste"/>
                      <w:spacing w:line="276" w:lineRule="auto"/>
                      <w:jc w:val="left"/>
                      <w:rPr>
                        <w:sz w:val="22"/>
                        <w:szCs w:val="22"/>
                      </w:rPr>
                    </w:pPr>
                  </w:p>
                  <w:p w:rsidR="00BF77C9" w:rsidRPr="00160ACB" w:rsidRDefault="00BF77C9" w:rsidP="00FB2364">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bookmarkEnd w:id="0"/>
                  <w:p w:rsidR="00BF77C9" w:rsidRPr="00CD74E5" w:rsidRDefault="00BF77C9" w:rsidP="00BF77C9">
                    <w:pPr>
                      <w:spacing w:line="276" w:lineRule="auto"/>
                      <w:jc w:val="left"/>
                      <w:rPr>
                        <w:b/>
                        <w:sz w:val="24"/>
                        <w:szCs w:val="24"/>
                      </w:rPr>
                    </w:pPr>
                  </w:p>
                </w:txbxContent>
              </v:textbox>
            </v:shape>
            <w10:wrap type="non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12B64"/>
    <w:rsid w:val="00021674"/>
    <w:rsid w:val="00085ED2"/>
    <w:rsid w:val="000A0F4A"/>
    <w:rsid w:val="000B559D"/>
    <w:rsid w:val="000C6030"/>
    <w:rsid w:val="000E1447"/>
    <w:rsid w:val="000F1AC1"/>
    <w:rsid w:val="001134C8"/>
    <w:rsid w:val="00127AC0"/>
    <w:rsid w:val="0014119B"/>
    <w:rsid w:val="00160ACB"/>
    <w:rsid w:val="00191FF8"/>
    <w:rsid w:val="001C4E7D"/>
    <w:rsid w:val="001D6937"/>
    <w:rsid w:val="001E0874"/>
    <w:rsid w:val="002600BE"/>
    <w:rsid w:val="0027307D"/>
    <w:rsid w:val="00285043"/>
    <w:rsid w:val="002C620C"/>
    <w:rsid w:val="002D296A"/>
    <w:rsid w:val="00314B72"/>
    <w:rsid w:val="003225DA"/>
    <w:rsid w:val="003273B1"/>
    <w:rsid w:val="00345218"/>
    <w:rsid w:val="00354ADE"/>
    <w:rsid w:val="00385FF7"/>
    <w:rsid w:val="003A251A"/>
    <w:rsid w:val="003B2BFD"/>
    <w:rsid w:val="003D1967"/>
    <w:rsid w:val="003D643B"/>
    <w:rsid w:val="00412FF8"/>
    <w:rsid w:val="0042029C"/>
    <w:rsid w:val="00450D19"/>
    <w:rsid w:val="00453BAD"/>
    <w:rsid w:val="00465F0D"/>
    <w:rsid w:val="004B73C5"/>
    <w:rsid w:val="004C1BDB"/>
    <w:rsid w:val="004F0E87"/>
    <w:rsid w:val="004F1F09"/>
    <w:rsid w:val="00513FE6"/>
    <w:rsid w:val="00521993"/>
    <w:rsid w:val="005645B9"/>
    <w:rsid w:val="005A1FB3"/>
    <w:rsid w:val="005F0805"/>
    <w:rsid w:val="00603C4B"/>
    <w:rsid w:val="00605BBC"/>
    <w:rsid w:val="00606255"/>
    <w:rsid w:val="00612ABC"/>
    <w:rsid w:val="00643C1A"/>
    <w:rsid w:val="0064556B"/>
    <w:rsid w:val="006600DD"/>
    <w:rsid w:val="006C3354"/>
    <w:rsid w:val="006C5406"/>
    <w:rsid w:val="00715E0A"/>
    <w:rsid w:val="00724753"/>
    <w:rsid w:val="00753D5F"/>
    <w:rsid w:val="007C01E9"/>
    <w:rsid w:val="007C4835"/>
    <w:rsid w:val="007E5055"/>
    <w:rsid w:val="00805D53"/>
    <w:rsid w:val="0080725A"/>
    <w:rsid w:val="008272D8"/>
    <w:rsid w:val="008B0F0D"/>
    <w:rsid w:val="008E7ECE"/>
    <w:rsid w:val="009256CB"/>
    <w:rsid w:val="00945E7D"/>
    <w:rsid w:val="009611DC"/>
    <w:rsid w:val="00971172"/>
    <w:rsid w:val="00996438"/>
    <w:rsid w:val="009B7501"/>
    <w:rsid w:val="009C5419"/>
    <w:rsid w:val="009E77D9"/>
    <w:rsid w:val="009F2471"/>
    <w:rsid w:val="00A034DF"/>
    <w:rsid w:val="00A512F6"/>
    <w:rsid w:val="00A6374A"/>
    <w:rsid w:val="00A75A35"/>
    <w:rsid w:val="00AB186B"/>
    <w:rsid w:val="00AD566A"/>
    <w:rsid w:val="00AE7A16"/>
    <w:rsid w:val="00AF4365"/>
    <w:rsid w:val="00B00895"/>
    <w:rsid w:val="00B02859"/>
    <w:rsid w:val="00B24CB7"/>
    <w:rsid w:val="00B4466C"/>
    <w:rsid w:val="00B8030E"/>
    <w:rsid w:val="00BC5730"/>
    <w:rsid w:val="00BE18EB"/>
    <w:rsid w:val="00BF77C9"/>
    <w:rsid w:val="00C148A1"/>
    <w:rsid w:val="00C64BFC"/>
    <w:rsid w:val="00C7118B"/>
    <w:rsid w:val="00C71C9A"/>
    <w:rsid w:val="00CA2E26"/>
    <w:rsid w:val="00CB0CF8"/>
    <w:rsid w:val="00CD74E5"/>
    <w:rsid w:val="00D21A53"/>
    <w:rsid w:val="00D34CFD"/>
    <w:rsid w:val="00D37F0D"/>
    <w:rsid w:val="00D5177A"/>
    <w:rsid w:val="00D520F5"/>
    <w:rsid w:val="00D6022B"/>
    <w:rsid w:val="00D95AFD"/>
    <w:rsid w:val="00DA016F"/>
    <w:rsid w:val="00DD31B1"/>
    <w:rsid w:val="00DE66DB"/>
    <w:rsid w:val="00E10100"/>
    <w:rsid w:val="00E12851"/>
    <w:rsid w:val="00E15AAD"/>
    <w:rsid w:val="00E31840"/>
    <w:rsid w:val="00E43901"/>
    <w:rsid w:val="00E467C0"/>
    <w:rsid w:val="00E63CCD"/>
    <w:rsid w:val="00E72902"/>
    <w:rsid w:val="00E829B4"/>
    <w:rsid w:val="00EA4209"/>
    <w:rsid w:val="00EC1345"/>
    <w:rsid w:val="00EC3102"/>
    <w:rsid w:val="00EE3E89"/>
    <w:rsid w:val="00EF1F15"/>
    <w:rsid w:val="00EF2DEB"/>
    <w:rsid w:val="00F0079C"/>
    <w:rsid w:val="00F0799B"/>
    <w:rsid w:val="00F334BD"/>
    <w:rsid w:val="00F448C9"/>
    <w:rsid w:val="00F54384"/>
    <w:rsid w:val="00F6518C"/>
    <w:rsid w:val="00F763A9"/>
    <w:rsid w:val="00F823F9"/>
    <w:rsid w:val="00FB2364"/>
    <w:rsid w:val="00FC625A"/>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4D911E43"/>
  <w15:docId w15:val="{F3A9E199-1B40-419F-BFFB-ADBCB37A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3</Pages>
  <Words>570</Words>
  <Characters>3137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54</cp:revision>
  <cp:lastPrinted>2018-02-22T16:00:00Z</cp:lastPrinted>
  <dcterms:created xsi:type="dcterms:W3CDTF">2014-10-27T08:50:00Z</dcterms:created>
  <dcterms:modified xsi:type="dcterms:W3CDTF">2022-03-30T17:57:00Z</dcterms:modified>
</cp:coreProperties>
</file>